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54/1 от 05.09.2019г.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D5EFA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 xml:space="preserve">Схемы </w:t>
      </w:r>
    </w:p>
    <w:p w:rsidR="000263F3" w:rsidRPr="008D5EFA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>водоснабжения и водоотведения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8D5EFA">
        <w:rPr>
          <w:rFonts w:ascii="Times New Roman" w:hAnsi="Times New Roman" w:cs="Times New Roman"/>
          <w:b/>
          <w:sz w:val="44"/>
          <w:szCs w:val="28"/>
        </w:rPr>
        <w:t>Ширинского</w:t>
      </w:r>
      <w:proofErr w:type="spellEnd"/>
      <w:r w:rsidRPr="008D5EFA">
        <w:rPr>
          <w:rFonts w:ascii="Times New Roman" w:hAnsi="Times New Roman" w:cs="Times New Roman"/>
          <w:b/>
          <w:sz w:val="44"/>
          <w:szCs w:val="28"/>
        </w:rPr>
        <w:t xml:space="preserve"> района </w:t>
      </w:r>
    </w:p>
    <w:p w:rsidR="000263F3" w:rsidRPr="008D5EFA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 w:rsidRPr="008D5EFA">
        <w:rPr>
          <w:rFonts w:ascii="Times New Roman" w:hAnsi="Times New Roman" w:cs="Times New Roman"/>
          <w:b/>
          <w:sz w:val="44"/>
          <w:szCs w:val="28"/>
        </w:rPr>
        <w:t xml:space="preserve">Республики Хакасия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  на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условиях недостатка средств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  на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gramStart"/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№ 204 «О разработке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модернизация объектов инженерной инфраструктуры путем внедрения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>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2023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- 2019-2021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обеспечения водой 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- 2021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0263F3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дств гр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>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proofErr w:type="gramStart"/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реализацией мероприятий схемы водоснабжения и водоотведения.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01.01.2019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1432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а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Территория поселения входит в состав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ного центра п. </w:t>
      </w:r>
      <w:proofErr w:type="spellStart"/>
      <w:r w:rsidR="008D5EFA">
        <w:rPr>
          <w:rFonts w:ascii="Times New Roman" w:eastAsia="TimesNewRomanPSMT" w:hAnsi="Times New Roman" w:cs="Times New Roman"/>
          <w:sz w:val="24"/>
          <w:szCs w:val="26"/>
        </w:rPr>
        <w:t>Шира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Соленоозерным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северо-востоке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Воротским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Фыркальским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юго-западе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</w:t>
      </w:r>
      <w:proofErr w:type="gramStart"/>
      <w:r w:rsidRPr="008B02E0">
        <w:rPr>
          <w:rFonts w:ascii="Times New Roman" w:eastAsia="TimesNewRomanPSMT" w:hAnsi="Times New Roman" w:cs="Times New Roman"/>
          <w:sz w:val="24"/>
          <w:szCs w:val="26"/>
        </w:rPr>
        <w:t>ии и ее</w:t>
      </w:r>
      <w:proofErr w:type="gram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/>
      </w:tblPr>
      <w:tblGrid>
        <w:gridCol w:w="675"/>
        <w:gridCol w:w="6374"/>
        <w:gridCol w:w="1099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</w:t>
            </w:r>
            <w:proofErr w:type="gramEnd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/>
      </w:tblPr>
      <w:tblGrid>
        <w:gridCol w:w="675"/>
        <w:gridCol w:w="6374"/>
        <w:gridCol w:w="109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0263F3" w:rsidRDefault="000263F3" w:rsidP="00C3528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35280">
              <w:rPr>
                <w:rFonts w:ascii="Times New Roman" w:hAnsi="Times New Roman" w:cs="Times New Roman"/>
                <w:sz w:val="24"/>
                <w:szCs w:val="24"/>
              </w:rPr>
              <w:t>Целинная СОШ-14</w:t>
            </w:r>
          </w:p>
          <w:p w:rsidR="00C35280" w:rsidRPr="0098119E" w:rsidRDefault="00C35280" w:rsidP="00C3528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Целинная Коррекционная школа 8-вида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proofErr w:type="gramStart"/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proofErr w:type="gramEnd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3226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ТепловыеСети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находится в диапазоне от +18  до +24 °С. Продолжительность безморозного периода в среднем составляет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 xml:space="preserve">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порядка  1,1-3,6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осадков  в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Относительная влажность воздуха в течение года колеблется в широких пределах от 60 до 75 %. Наиболее высокая относительная влажность отмечается  в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(бассейн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канализования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ТЕХНИКО – ЭКОНОМИЧЕСКОЕ</w:t>
      </w:r>
      <w:proofErr w:type="gramEnd"/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 Централизованное 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сельсовете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ТепловыеСети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умышленного загрязнения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экономического 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ТепловыеСети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</w:t>
      </w:r>
      <w:proofErr w:type="gramEnd"/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елинное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 капитальный ремонт водопроводных сетей производится в 2012-2013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Наименование и месторасположение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в центре села </w:t>
            </w:r>
            <w:proofErr w:type="gramStart"/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Целинное</w:t>
            </w:r>
            <w:proofErr w:type="gramEnd"/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в заречном участке села </w:t>
            </w:r>
            <w:proofErr w:type="gramStart"/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Целинное</w:t>
            </w:r>
            <w:proofErr w:type="gramEnd"/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Напор,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Глубина скважины по паспорту на год бурения,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Водопроводные сети,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- повышение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тыс. куб.м.</w:t>
      </w:r>
    </w:p>
    <w:tbl>
      <w:tblPr>
        <w:tblStyle w:val="a4"/>
        <w:tblW w:w="10619" w:type="dxa"/>
        <w:tblInd w:w="-1013" w:type="dxa"/>
        <w:tblLook w:val="04A0"/>
      </w:tblPr>
      <w:tblGrid>
        <w:gridCol w:w="1824"/>
        <w:gridCol w:w="713"/>
        <w:gridCol w:w="709"/>
        <w:gridCol w:w="770"/>
        <w:gridCol w:w="709"/>
        <w:gridCol w:w="708"/>
        <w:gridCol w:w="709"/>
        <w:gridCol w:w="709"/>
        <w:gridCol w:w="679"/>
        <w:gridCol w:w="679"/>
        <w:gridCol w:w="709"/>
        <w:gridCol w:w="851"/>
        <w:gridCol w:w="85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8E1A25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2014г.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8E1A25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ТепловыеСети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0263F3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системах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следствие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куб.м.</w:t>
      </w:r>
    </w:p>
    <w:tbl>
      <w:tblPr>
        <w:tblStyle w:val="a4"/>
        <w:tblW w:w="9691" w:type="dxa"/>
        <w:tblLook w:val="04A0"/>
      </w:tblPr>
      <w:tblGrid>
        <w:gridCol w:w="1959"/>
        <w:gridCol w:w="923"/>
        <w:gridCol w:w="923"/>
        <w:gridCol w:w="1027"/>
        <w:gridCol w:w="1027"/>
        <w:gridCol w:w="923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ТепловыеСети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669"/>
        <w:gridCol w:w="1290"/>
        <w:gridCol w:w="1339"/>
        <w:gridCol w:w="1305"/>
        <w:gridCol w:w="1339"/>
        <w:gridCol w:w="1290"/>
        <w:gridCol w:w="1339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ТепловыеСети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2013 - 2018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</w:t>
            </w:r>
            <w:proofErr w:type="spellEnd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2019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ТепловыеСети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proofErr w:type="gramStart"/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-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</w:rPr>
              <w:t>установленная</w:t>
            </w:r>
            <w:proofErr w:type="gramEnd"/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2018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>годовое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>среднесуточное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>максимальное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ления воды определена по отчету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ресурсо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Планируемый 2013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ТепловыеСети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2013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ТепловыеСети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2019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3.8. Фактические и ожидаемые неучтенные расходы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2018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/>
      </w:tblPr>
      <w:tblGrid>
        <w:gridCol w:w="2008"/>
        <w:gridCol w:w="1007"/>
        <w:gridCol w:w="1134"/>
        <w:gridCol w:w="1588"/>
        <w:gridCol w:w="1007"/>
        <w:gridCol w:w="1134"/>
        <w:gridCol w:w="1586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Фактическая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2018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2019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суточная</w:t>
            </w:r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суточная</w:t>
            </w:r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ТепловыеСети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  <w:proofErr w:type="gramEnd"/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0263F3" w:rsidRDefault="00530F3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ТепловыеСети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осуществляющая</w:t>
      </w:r>
      <w:proofErr w:type="gramEnd"/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и водоотведения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- замена существующих глубинных насосов на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энергоэффективные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предлагается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заменить стальные трубы водоводов на трубы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о-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-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контроль за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Таким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образом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тем водоснабжения составляет  _______________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2019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проб питьевой воды, соответствующей нормативным 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водопроводной  распределительной 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кВт/тыс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Обеспеченность системы водоснабжения коммерческими и технологическими  приборами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ПЕРЕЧЕНЬ ВЫЯВЛЕННЫХ БЕСХОЗЯЙНЫЙ ОБЪЕКТОВ ЦЕНТРАЛИЗОВАННЫХ СИСТЕМ ВОДОСНАБЖЕНИЯ.</w:t>
      </w:r>
      <w:proofErr w:type="gramEnd"/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proofErr w:type="gramEnd"/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санционированную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села Целинное) на расстоянии 1 км от с</w:t>
      </w:r>
      <w:proofErr w:type="gramStart"/>
      <w:r w:rsidR="005D1238">
        <w:rPr>
          <w:rFonts w:ascii="Times New Roman" w:eastAsia="TimesNewRomanPSMT" w:hAnsi="Times New Roman" w:cs="Times New Roman"/>
          <w:sz w:val="24"/>
          <w:szCs w:val="24"/>
        </w:rPr>
        <w:t>.Ц</w:t>
      </w:r>
      <w:proofErr w:type="gramEnd"/>
      <w:r w:rsidR="005D1238">
        <w:rPr>
          <w:rFonts w:ascii="Times New Roman" w:eastAsia="TimesNewRomanPSMT" w:hAnsi="Times New Roman" w:cs="Times New Roman"/>
          <w:sz w:val="24"/>
          <w:szCs w:val="24"/>
        </w:rPr>
        <w:t>елинное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FE" w:rsidRDefault="00E203FE" w:rsidP="000263F3">
      <w:pPr>
        <w:spacing w:after="0" w:line="240" w:lineRule="auto"/>
      </w:pPr>
      <w:r>
        <w:separator/>
      </w:r>
    </w:p>
  </w:endnote>
  <w:endnote w:type="continuationSeparator" w:id="0">
    <w:p w:rsidR="00E203FE" w:rsidRDefault="00E203FE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87110"/>
      <w:docPartObj>
        <w:docPartGallery w:val="Page Numbers (Bottom of Page)"/>
        <w:docPartUnique/>
      </w:docPartObj>
    </w:sdtPr>
    <w:sdtContent>
      <w:p w:rsidR="00C2507F" w:rsidRDefault="00C511F1">
        <w:pPr>
          <w:pStyle w:val="a9"/>
          <w:jc w:val="right"/>
        </w:pPr>
        <w:r>
          <w:fldChar w:fldCharType="begin"/>
        </w:r>
        <w:r w:rsidR="00C2507F">
          <w:instrText xml:space="preserve"> PAGE   \* MERGEFORMAT </w:instrText>
        </w:r>
        <w:r>
          <w:fldChar w:fldCharType="separate"/>
        </w:r>
        <w:r w:rsidR="00E41C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2507F" w:rsidRDefault="00C250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FE" w:rsidRDefault="00E203FE" w:rsidP="000263F3">
      <w:pPr>
        <w:spacing w:after="0" w:line="240" w:lineRule="auto"/>
      </w:pPr>
      <w:r>
        <w:separator/>
      </w:r>
    </w:p>
  </w:footnote>
  <w:footnote w:type="continuationSeparator" w:id="0">
    <w:p w:rsidR="00E203FE" w:rsidRDefault="00E203FE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3F3"/>
    <w:rsid w:val="00024262"/>
    <w:rsid w:val="000263F3"/>
    <w:rsid w:val="000D3812"/>
    <w:rsid w:val="00111B6E"/>
    <w:rsid w:val="0012113C"/>
    <w:rsid w:val="00164B34"/>
    <w:rsid w:val="002424F4"/>
    <w:rsid w:val="00286628"/>
    <w:rsid w:val="003816DD"/>
    <w:rsid w:val="004855C9"/>
    <w:rsid w:val="004B5CF4"/>
    <w:rsid w:val="00530F3D"/>
    <w:rsid w:val="00573472"/>
    <w:rsid w:val="00576532"/>
    <w:rsid w:val="00584CEA"/>
    <w:rsid w:val="005D1238"/>
    <w:rsid w:val="006B1114"/>
    <w:rsid w:val="007210DC"/>
    <w:rsid w:val="00783C7C"/>
    <w:rsid w:val="0083123D"/>
    <w:rsid w:val="00854BB1"/>
    <w:rsid w:val="00870BCC"/>
    <w:rsid w:val="008979A7"/>
    <w:rsid w:val="008D5EFA"/>
    <w:rsid w:val="008E1A25"/>
    <w:rsid w:val="0092685C"/>
    <w:rsid w:val="00A248FB"/>
    <w:rsid w:val="00AE6B6F"/>
    <w:rsid w:val="00B079B2"/>
    <w:rsid w:val="00B11DC1"/>
    <w:rsid w:val="00B51ABE"/>
    <w:rsid w:val="00B63A0B"/>
    <w:rsid w:val="00BB5562"/>
    <w:rsid w:val="00C2507F"/>
    <w:rsid w:val="00C35280"/>
    <w:rsid w:val="00C47294"/>
    <w:rsid w:val="00C511F1"/>
    <w:rsid w:val="00CB4456"/>
    <w:rsid w:val="00D25607"/>
    <w:rsid w:val="00D45BE6"/>
    <w:rsid w:val="00D47677"/>
    <w:rsid w:val="00D75282"/>
    <w:rsid w:val="00E203FE"/>
    <w:rsid w:val="00E41C21"/>
    <w:rsid w:val="00E81FE9"/>
    <w:rsid w:val="00F14754"/>
    <w:rsid w:val="00F41D62"/>
    <w:rsid w:val="00FC0606"/>
    <w:rsid w:val="00FC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cfpwlaWzO/HjGueBu5CAagKNHKYNtawyYl2bM0tdmRk=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Sr8mXtpWMiF/hggiiPmpQBzNgJNzHTQktRBIqgBdeA9P9eLd/QAwVW7/dPuNaROOyyfCsvZl
    luWJyVCyAf+UQw==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9uU70YfgyLclhpYcn9RggN7r8O8=</DigestValue>
      </Reference>
      <Reference URI="/word/endnotes.xml?ContentType=application/vnd.openxmlformats-officedocument.wordprocessingml.endnotes+xml">
        <DigestMethod Algorithm="http://www.w3.org/2000/09/xmldsig#sha1"/>
        <DigestValue>vGlAwbV5/XMP/4hA8p3WjonHXqQ=</DigestValue>
      </Reference>
      <Reference URI="/word/fontTable.xml?ContentType=application/vnd.openxmlformats-officedocument.wordprocessingml.fontTable+xml">
        <DigestMethod Algorithm="http://www.w3.org/2000/09/xmldsig#sha1"/>
        <DigestValue>M9L4WgyRg1IsIy58iVdC+Q1TeB4=</DigestValue>
      </Reference>
      <Reference URI="/word/footer1.xml?ContentType=application/vnd.openxmlformats-officedocument.wordprocessingml.footer+xml">
        <DigestMethod Algorithm="http://www.w3.org/2000/09/xmldsig#sha1"/>
        <DigestValue>ypsBssIVLI5wckBkADuZ06ip/LM=</DigestValue>
      </Reference>
      <Reference URI="/word/footnotes.xml?ContentType=application/vnd.openxmlformats-officedocument.wordprocessingml.footnotes+xml">
        <DigestMethod Algorithm="http://www.w3.org/2000/09/xmldsig#sha1"/>
        <DigestValue>OqDVwj5h7IRrplUGk/JWAu1ODLc=</DigestValue>
      </Reference>
      <Reference URI="/word/media/image1.emf?ContentType=image/x-emf">
        <DigestMethod Algorithm="http://www.w3.org/2000/09/xmldsig#sha1"/>
        <DigestValue>ilTwhpf8TU2LWf8uVhqC87vgMT0=</DigestValue>
      </Reference>
      <Reference URI="/word/numbering.xml?ContentType=application/vnd.openxmlformats-officedocument.wordprocessingml.numbering+xml">
        <DigestMethod Algorithm="http://www.w3.org/2000/09/xmldsig#sha1"/>
        <DigestValue>grHcwlgNAigOwhMZ1d11dIEcTts=</DigestValue>
      </Reference>
      <Reference URI="/word/settings.xml?ContentType=application/vnd.openxmlformats-officedocument.wordprocessingml.settings+xml">
        <DigestMethod Algorithm="http://www.w3.org/2000/09/xmldsig#sha1"/>
        <DigestValue>ImD5j+VVEAd8p4aLcwC3Kiv62Hg=</DigestValue>
      </Reference>
      <Reference URI="/word/styles.xml?ContentType=application/vnd.openxmlformats-officedocument.wordprocessingml.styles+xml">
        <DigestMethod Algorithm="http://www.w3.org/2000/09/xmldsig#sha1"/>
        <DigestValue>sUtdoDKsVnmCJI7rGp/xwdcwfyc=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2019-09-18T01:17:16Z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18</cp:revision>
  <cp:lastPrinted>2014-01-15T09:44:00Z</cp:lastPrinted>
  <dcterms:created xsi:type="dcterms:W3CDTF">2014-01-15T09:45:00Z</dcterms:created>
  <dcterms:modified xsi:type="dcterms:W3CDTF">2019-09-17T07:40:00Z</dcterms:modified>
</cp:coreProperties>
</file>