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B078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____</w:t>
      </w:r>
    </w:p>
    <w:p w:rsidR="000263F3" w:rsidRPr="006B0785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B0785">
        <w:rPr>
          <w:rFonts w:ascii="Times New Roman" w:eastAsia="TimesNewRomanPSMT" w:hAnsi="Times New Roman" w:cs="Times New Roman"/>
          <w:b/>
          <w:sz w:val="24"/>
          <w:szCs w:val="24"/>
        </w:rPr>
        <w:t>ПРОЕКТ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</w:t>
      </w:r>
      <w:bookmarkStart w:id="0" w:name="_GoBack"/>
      <w:bookmarkEnd w:id="0"/>
      <w:r w:rsidRPr="00A02867">
        <w:rPr>
          <w:rFonts w:ascii="Times New Roman" w:hAnsi="Times New Roman" w:cs="Times New Roman"/>
          <w:b/>
          <w:sz w:val="40"/>
          <w:szCs w:val="40"/>
        </w:rPr>
        <w:t>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2021 – 2022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373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На перспективу сложившаяся система расселения сохранит свою структуру.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>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0263F3" w:rsidRDefault="000263F3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35280">
              <w:rPr>
                <w:rFonts w:ascii="Times New Roman" w:hAnsi="Times New Roman" w:cs="Times New Roman"/>
                <w:sz w:val="24"/>
                <w:szCs w:val="24"/>
              </w:rPr>
              <w:t>Целинная СОШ-14</w:t>
            </w:r>
          </w:p>
          <w:p w:rsidR="00C35280" w:rsidRPr="0098119E" w:rsidRDefault="00C35280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Целинная Коррекционная школа 8-вида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6B07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>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экономического 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Ресурс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капитальный ремонт водопроводных сетей производится в 2012-2013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8E1A25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2014г.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8E1A25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0263F3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2019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2018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Планируемый 2013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2013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201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Тепло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Ресурс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воды, соответствующей нормативным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E2" w:rsidRDefault="009F37E2" w:rsidP="000263F3">
      <w:pPr>
        <w:spacing w:after="0" w:line="240" w:lineRule="auto"/>
      </w:pPr>
      <w:r>
        <w:separator/>
      </w:r>
    </w:p>
  </w:endnote>
  <w:endnote w:type="continuationSeparator" w:id="0">
    <w:p w:rsidR="009F37E2" w:rsidRDefault="009F37E2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C2507F" w:rsidRDefault="00C511F1">
        <w:pPr>
          <w:pStyle w:val="a9"/>
          <w:jc w:val="right"/>
        </w:pPr>
        <w:r>
          <w:fldChar w:fldCharType="begin"/>
        </w:r>
        <w:r w:rsidR="00C2507F">
          <w:instrText xml:space="preserve"> PAGE   \* MERGEFORMAT </w:instrText>
        </w:r>
        <w:r>
          <w:fldChar w:fldCharType="separate"/>
        </w:r>
        <w:r w:rsidR="00E41C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2507F" w:rsidRDefault="00C250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E2" w:rsidRDefault="009F37E2" w:rsidP="000263F3">
      <w:pPr>
        <w:spacing w:after="0" w:line="240" w:lineRule="auto"/>
      </w:pPr>
      <w:r>
        <w:separator/>
      </w:r>
    </w:p>
  </w:footnote>
  <w:footnote w:type="continuationSeparator" w:id="0">
    <w:p w:rsidR="009F37E2" w:rsidRDefault="009F37E2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D3812"/>
    <w:rsid w:val="00111B6E"/>
    <w:rsid w:val="0012113C"/>
    <w:rsid w:val="00164B34"/>
    <w:rsid w:val="002424F4"/>
    <w:rsid w:val="002773D7"/>
    <w:rsid w:val="00286628"/>
    <w:rsid w:val="003816D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7210DC"/>
    <w:rsid w:val="00783C7C"/>
    <w:rsid w:val="0083123D"/>
    <w:rsid w:val="00854BB1"/>
    <w:rsid w:val="00870BCC"/>
    <w:rsid w:val="008979A7"/>
    <w:rsid w:val="008D5EFA"/>
    <w:rsid w:val="008E1A25"/>
    <w:rsid w:val="0092685C"/>
    <w:rsid w:val="009F37E2"/>
    <w:rsid w:val="00A02867"/>
    <w:rsid w:val="00A248FB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B4456"/>
    <w:rsid w:val="00D25607"/>
    <w:rsid w:val="00D45BE6"/>
    <w:rsid w:val="00D47677"/>
    <w:rsid w:val="00D75282"/>
    <w:rsid w:val="00E203FE"/>
    <w:rsid w:val="00E41C21"/>
    <w:rsid w:val="00E81FE9"/>
    <w:rsid w:val="00F14754"/>
    <w:rsid w:val="00F41D62"/>
    <w:rsid w:val="00FC0606"/>
    <w:rsid w:val="00FC7B3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2D35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8</cp:revision>
  <cp:lastPrinted>2014-01-15T09:44:00Z</cp:lastPrinted>
  <dcterms:created xsi:type="dcterms:W3CDTF">2021-02-11T16:16:00Z</dcterms:created>
  <dcterms:modified xsi:type="dcterms:W3CDTF">2021-03-16T16:08:00Z</dcterms:modified>
</cp:coreProperties>
</file>