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106EC" w:rsidRDefault="00960D7E">
      <w:pPr>
        <w:spacing w:after="0" w:line="65" w:lineRule="atLeast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noProof/>
          <w:color w:val="000000" w:themeColor="text1"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2095500" cy="7715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95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5.00pt;height:60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A106EC" w:rsidRDefault="00960D7E">
      <w:pPr>
        <w:spacing w:after="0" w:line="65" w:lineRule="atLeast"/>
        <w:ind w:firstLine="709"/>
        <w:jc w:val="right"/>
        <w:rPr>
          <w:rFonts w:ascii="Tinos" w:hAnsi="Tinos" w:cs="Tinos"/>
          <w:b/>
          <w:bCs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  <w:lang w:eastAsia="sk-SK"/>
        </w:rPr>
        <w:t>Пресс-релиз</w:t>
      </w:r>
    </w:p>
    <w:p w:rsidR="00A106EC" w:rsidRDefault="00A106EC">
      <w:pPr>
        <w:spacing w:after="0" w:line="65" w:lineRule="atLeast"/>
        <w:ind w:firstLine="709"/>
        <w:jc w:val="both"/>
        <w:rPr>
          <w:rFonts w:ascii="Tinos" w:hAnsi="Tinos" w:cs="Tinos"/>
          <w:color w:val="000000" w:themeColor="text1"/>
          <w:sz w:val="26"/>
          <w:szCs w:val="26"/>
        </w:rPr>
      </w:pPr>
    </w:p>
    <w:p w:rsidR="00A106EC" w:rsidRDefault="00960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ind w:firstLine="708"/>
        <w:jc w:val="center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b/>
          <w:bCs/>
          <w:color w:val="000000" w:themeColor="text1"/>
          <w:sz w:val="26"/>
          <w:szCs w:val="26"/>
        </w:rPr>
        <w:t>В Хакасии бесплатно для людей уточнят границы земельных участков</w:t>
      </w:r>
    </w:p>
    <w:p w:rsidR="00A106EC" w:rsidRDefault="00A106EC">
      <w:pPr>
        <w:spacing w:after="0" w:line="57" w:lineRule="atLeast"/>
        <w:rPr>
          <w:rFonts w:ascii="Tinos" w:hAnsi="Tinos" w:cs="Tinos"/>
          <w:color w:val="000000" w:themeColor="text1"/>
          <w:sz w:val="26"/>
          <w:szCs w:val="26"/>
        </w:rPr>
      </w:pPr>
    </w:p>
    <w:p w:rsidR="00A106EC" w:rsidRDefault="00960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ind w:firstLine="708"/>
        <w:jc w:val="both"/>
        <w:rPr>
          <w:rFonts w:ascii="Tinos" w:eastAsia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В следующем году в Хакасии с помощью комплексных кадастровых работ уточнят границы земельных участков в двенадцати опорных населенных пунктах. Всего будет охвачено 148 кадастровых кварталов. </w:t>
      </w:r>
    </w:p>
    <w:p w:rsidR="00A106EC" w:rsidRDefault="00960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ind w:firstLine="708"/>
        <w:jc w:val="both"/>
        <w:rPr>
          <w:rFonts w:ascii="Tinos" w:eastAsia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i/>
          <w:iCs/>
          <w:color w:val="000000" w:themeColor="text1"/>
          <w:sz w:val="26"/>
          <w:szCs w:val="26"/>
          <w:highlight w:val="white"/>
        </w:rPr>
        <w:t>«За два предыдущих года в рамках госпрограммы «Национальная сист</w:t>
      </w:r>
      <w:r>
        <w:rPr>
          <w:rFonts w:ascii="Tinos" w:eastAsia="Tinos" w:hAnsi="Tinos" w:cs="Tinos"/>
          <w:i/>
          <w:iCs/>
          <w:color w:val="000000" w:themeColor="text1"/>
          <w:sz w:val="26"/>
          <w:szCs w:val="26"/>
          <w:highlight w:val="white"/>
        </w:rPr>
        <w:t xml:space="preserve">ема пространственных данных» для граждан и организаций были бесплатно уточнены границы 756 объектов недвижимости в </w:t>
      </w:r>
      <w:proofErr w:type="spellStart"/>
      <w:r>
        <w:rPr>
          <w:rFonts w:ascii="Tinos" w:eastAsia="Tinos" w:hAnsi="Tinos" w:cs="Tinos"/>
          <w:i/>
          <w:iCs/>
          <w:color w:val="000000" w:themeColor="text1"/>
          <w:sz w:val="26"/>
          <w:szCs w:val="26"/>
          <w:highlight w:val="white"/>
        </w:rPr>
        <w:t>Аскизском</w:t>
      </w:r>
      <w:proofErr w:type="spellEnd"/>
      <w:r>
        <w:rPr>
          <w:rFonts w:ascii="Tinos" w:eastAsia="Tinos" w:hAnsi="Tinos" w:cs="Tinos"/>
          <w:i/>
          <w:iCs/>
          <w:color w:val="000000" w:themeColor="text1"/>
          <w:sz w:val="26"/>
          <w:szCs w:val="26"/>
          <w:highlight w:val="white"/>
        </w:rPr>
        <w:t xml:space="preserve">, </w:t>
      </w:r>
      <w:proofErr w:type="spellStart"/>
      <w:r>
        <w:rPr>
          <w:rFonts w:ascii="Tinos" w:eastAsia="Tinos" w:hAnsi="Tinos" w:cs="Tinos"/>
          <w:i/>
          <w:iCs/>
          <w:color w:val="000000" w:themeColor="text1"/>
          <w:sz w:val="26"/>
          <w:szCs w:val="26"/>
        </w:rPr>
        <w:t>Таштыпском</w:t>
      </w:r>
      <w:proofErr w:type="spellEnd"/>
      <w:r>
        <w:rPr>
          <w:rFonts w:ascii="Tinos" w:eastAsia="Tinos" w:hAnsi="Tinos" w:cs="Tinos"/>
          <w:i/>
          <w:iCs/>
          <w:color w:val="000000" w:themeColor="text1"/>
          <w:sz w:val="26"/>
          <w:szCs w:val="26"/>
          <w:highlight w:val="white"/>
        </w:rPr>
        <w:t xml:space="preserve"> и Алтайском районах за счет местного бюджета. С 2025 года объем комплексных кадастровых работ увеличился. До конца года</w:t>
      </w:r>
      <w:r>
        <w:rPr>
          <w:rFonts w:ascii="Tinos" w:eastAsia="Tinos" w:hAnsi="Tinos" w:cs="Tinos"/>
          <w:i/>
          <w:iCs/>
          <w:color w:val="000000" w:themeColor="text1"/>
          <w:sz w:val="26"/>
          <w:szCs w:val="26"/>
          <w:highlight w:val="white"/>
        </w:rPr>
        <w:t xml:space="preserve"> в ЕГРН будут внесены сведения о границах более 20 тыс. земельных участков и объектов капитального строительства, расположенных в Алтайском, Усть-Абаканском, </w:t>
      </w:r>
      <w:proofErr w:type="spellStart"/>
      <w:r>
        <w:rPr>
          <w:rFonts w:ascii="Tinos" w:eastAsia="Tinos" w:hAnsi="Tinos" w:cs="Tinos"/>
          <w:i/>
          <w:iCs/>
          <w:color w:val="000000" w:themeColor="text1"/>
          <w:sz w:val="26"/>
          <w:szCs w:val="26"/>
          <w:highlight w:val="white"/>
        </w:rPr>
        <w:t>Аскизском</w:t>
      </w:r>
      <w:proofErr w:type="spellEnd"/>
      <w:r>
        <w:rPr>
          <w:rFonts w:ascii="Tinos" w:eastAsia="Tinos" w:hAnsi="Tinos" w:cs="Tinos"/>
          <w:i/>
          <w:iCs/>
          <w:color w:val="000000" w:themeColor="text1"/>
          <w:sz w:val="26"/>
          <w:szCs w:val="26"/>
          <w:highlight w:val="white"/>
        </w:rPr>
        <w:t xml:space="preserve"> районах, а также в Абакане и Черногорске. В 2026 году комплексные кадастровые работы охв</w:t>
      </w:r>
      <w:r>
        <w:rPr>
          <w:rFonts w:ascii="Tinos" w:eastAsia="Tinos" w:hAnsi="Tinos" w:cs="Tinos"/>
          <w:i/>
          <w:iCs/>
          <w:color w:val="000000" w:themeColor="text1"/>
          <w:sz w:val="26"/>
          <w:szCs w:val="26"/>
          <w:highlight w:val="white"/>
        </w:rPr>
        <w:t xml:space="preserve">атят </w:t>
      </w:r>
      <w:r>
        <w:rPr>
          <w:rFonts w:ascii="Tinos" w:eastAsia="Tinos" w:hAnsi="Tinos" w:cs="Tinos"/>
          <w:i/>
          <w:iCs/>
          <w:color w:val="000000" w:themeColor="text1"/>
          <w:sz w:val="26"/>
          <w:szCs w:val="26"/>
        </w:rPr>
        <w:t xml:space="preserve">г. Абакан, г. Черногорск, г. Саяногорск, г. Абаза, г. Сорск, </w:t>
      </w:r>
      <w:proofErr w:type="spellStart"/>
      <w:r>
        <w:rPr>
          <w:rFonts w:ascii="Tinos" w:eastAsia="Tinos" w:hAnsi="Tinos" w:cs="Tinos"/>
          <w:i/>
          <w:iCs/>
          <w:color w:val="000000" w:themeColor="text1"/>
          <w:sz w:val="26"/>
          <w:szCs w:val="26"/>
        </w:rPr>
        <w:t>р.п</w:t>
      </w:r>
      <w:proofErr w:type="spellEnd"/>
      <w:r>
        <w:rPr>
          <w:rFonts w:ascii="Tinos" w:eastAsia="Tinos" w:hAnsi="Tinos" w:cs="Tinos"/>
          <w:i/>
          <w:iCs/>
          <w:color w:val="000000" w:themeColor="text1"/>
          <w:sz w:val="26"/>
          <w:szCs w:val="26"/>
        </w:rPr>
        <w:t xml:space="preserve">. Усть-Абакан, п. </w:t>
      </w:r>
      <w:proofErr w:type="spellStart"/>
      <w:r>
        <w:rPr>
          <w:rFonts w:ascii="Tinos" w:eastAsia="Tinos" w:hAnsi="Tinos" w:cs="Tinos"/>
          <w:i/>
          <w:iCs/>
          <w:color w:val="000000" w:themeColor="text1"/>
          <w:sz w:val="26"/>
          <w:szCs w:val="26"/>
        </w:rPr>
        <w:t>Шира</w:t>
      </w:r>
      <w:proofErr w:type="spellEnd"/>
      <w:r>
        <w:rPr>
          <w:rFonts w:ascii="Tinos" w:eastAsia="Tinos" w:hAnsi="Tinos" w:cs="Tinos"/>
          <w:i/>
          <w:iCs/>
          <w:color w:val="000000" w:themeColor="text1"/>
          <w:sz w:val="26"/>
          <w:szCs w:val="26"/>
        </w:rPr>
        <w:t>, п. Копьево, с. Таштып, с. Аскиз, с. Бея и с. Боград</w:t>
      </w:r>
      <w:r>
        <w:rPr>
          <w:rFonts w:ascii="Tinos" w:eastAsia="Tinos" w:hAnsi="Tinos" w:cs="Tinos"/>
          <w:i/>
          <w:iCs/>
          <w:color w:val="000000" w:themeColor="text1"/>
          <w:sz w:val="26"/>
          <w:szCs w:val="26"/>
          <w:highlight w:val="white"/>
        </w:rPr>
        <w:t xml:space="preserve">», – </w:t>
      </w:r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 xml:space="preserve">сообщила заместитель руководителя Росреестра Хакасии Ольга </w:t>
      </w:r>
      <w:proofErr w:type="spellStart"/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>Найдёшкина</w:t>
      </w:r>
      <w:proofErr w:type="spellEnd"/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 xml:space="preserve">. </w:t>
      </w:r>
    </w:p>
    <w:p w:rsidR="00A106EC" w:rsidRDefault="00960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ind w:firstLine="708"/>
        <w:jc w:val="both"/>
        <w:rPr>
          <w:rFonts w:ascii="Tinos" w:eastAsia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Министр имущественных и земельных отношений Хакасии Дмитрий Панарин уточнил, что муниципальные образования для проведения комплексных кадастровых работ выбираются в соответствии с критериями. </w:t>
      </w:r>
      <w:r>
        <w:rPr>
          <w:rFonts w:ascii="Tinos" w:eastAsia="Tinos" w:hAnsi="Tinos" w:cs="Tinos"/>
          <w:i/>
          <w:iCs/>
          <w:color w:val="000000" w:themeColor="text1"/>
          <w:sz w:val="26"/>
          <w:szCs w:val="26"/>
        </w:rPr>
        <w:t xml:space="preserve">«Например, проведение кадастровых работ в 2026 году приоритетно для опорных населенных пунктов, где имеется большое количество земельных участков без границ (более 80%)», – 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пояснил он.  </w:t>
      </w:r>
    </w:p>
    <w:p w:rsidR="00A106EC" w:rsidRDefault="00A106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jc w:val="both"/>
        <w:rPr>
          <w:rFonts w:ascii="Tinos" w:hAnsi="Tinos" w:cs="Tinos"/>
          <w:color w:val="000000" w:themeColor="text1"/>
          <w:sz w:val="26"/>
          <w:szCs w:val="26"/>
        </w:rPr>
      </w:pPr>
    </w:p>
    <w:p w:rsidR="00A106EC" w:rsidRDefault="00960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ind w:firstLine="708"/>
        <w:jc w:val="both"/>
        <w:rPr>
          <w:rFonts w:ascii="Tinos" w:eastAsia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>В результате проведения комплексных кадастровых работ устанавливаютс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я на местности границы земельных участков, сведения о которых отсутствуют в ЕГРН, определяется местоположение контуров зданий и сооружений (осуществляется их «привязка» к участкам), а также исправляются реестровые ошибки в сведениях ЕГРН. </w:t>
      </w:r>
    </w:p>
    <w:p w:rsidR="00A106EC" w:rsidRDefault="00A106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ind w:firstLine="708"/>
        <w:jc w:val="both"/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</w:pPr>
    </w:p>
    <w:p w:rsidR="00A106EC" w:rsidRDefault="00960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ind w:firstLine="708"/>
        <w:jc w:val="both"/>
        <w:rPr>
          <w:rFonts w:ascii="Tinos" w:eastAsia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>По итогам работ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у собственников в сведениях о правах в ЕГРН появится информация об установленных границах. Это позволит избежать земельных споров и юридически распоряжаться объектами. Напомним, с 1 марта установление границ земельного участка стало </w:t>
      </w:r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 xml:space="preserve">обязательным условием </w:t>
      </w:r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>для регистрации права собственности или перехода права.</w:t>
      </w:r>
    </w:p>
    <w:p w:rsidR="00A106EC" w:rsidRDefault="00960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ind w:firstLine="708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  <w:highlight w:val="white"/>
        </w:rPr>
        <w:t> </w:t>
      </w:r>
    </w:p>
    <w:p w:rsidR="00A106EC" w:rsidRDefault="00960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57" w:lineRule="atLeast"/>
        <w:ind w:firstLine="708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Проведение кадастровых работ осуществляет 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>филиал ППК «</w:t>
      </w:r>
      <w:proofErr w:type="spellStart"/>
      <w:r>
        <w:rPr>
          <w:rFonts w:ascii="Tinos" w:eastAsia="Tinos" w:hAnsi="Tinos" w:cs="Tinos"/>
          <w:color w:val="000000" w:themeColor="text1"/>
          <w:sz w:val="26"/>
          <w:szCs w:val="26"/>
        </w:rPr>
        <w:t>Роскадастр</w:t>
      </w:r>
      <w:proofErr w:type="spellEnd"/>
      <w:r>
        <w:rPr>
          <w:rFonts w:ascii="Tinos" w:eastAsia="Tinos" w:hAnsi="Tinos" w:cs="Tinos"/>
          <w:color w:val="000000" w:themeColor="text1"/>
          <w:sz w:val="26"/>
          <w:szCs w:val="26"/>
        </w:rPr>
        <w:t>» по Республике Хакасии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и филиал ППК «</w:t>
      </w:r>
      <w:proofErr w:type="spellStart"/>
      <w:r>
        <w:rPr>
          <w:rFonts w:ascii="Tinos" w:eastAsia="Tinos" w:hAnsi="Tinos" w:cs="Tinos"/>
          <w:color w:val="000000" w:themeColor="text1"/>
          <w:sz w:val="26"/>
          <w:szCs w:val="26"/>
        </w:rPr>
        <w:t>Роскадастр</w:t>
      </w:r>
      <w:proofErr w:type="spellEnd"/>
      <w:r>
        <w:rPr>
          <w:rFonts w:ascii="Tinos" w:eastAsia="Tinos" w:hAnsi="Tinos" w:cs="Tinos"/>
          <w:color w:val="000000" w:themeColor="text1"/>
          <w:sz w:val="26"/>
          <w:szCs w:val="26"/>
        </w:rPr>
        <w:t>» «Красноярское АГП» за счет государственных средств. Это освобождает граждан и органи</w:t>
      </w:r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зации от расходов </w:t>
      </w:r>
      <w:proofErr w:type="gramStart"/>
      <w:r>
        <w:rPr>
          <w:rFonts w:ascii="Tinos" w:eastAsia="Tinos" w:hAnsi="Tinos" w:cs="Tinos"/>
          <w:color w:val="000000" w:themeColor="text1"/>
          <w:sz w:val="26"/>
          <w:szCs w:val="26"/>
        </w:rPr>
        <w:t>на  услуги</w:t>
      </w:r>
      <w:proofErr w:type="gramEnd"/>
      <w:r>
        <w:rPr>
          <w:rFonts w:ascii="Tinos" w:eastAsia="Tinos" w:hAnsi="Tinos" w:cs="Tinos"/>
          <w:color w:val="000000" w:themeColor="text1"/>
          <w:sz w:val="26"/>
          <w:szCs w:val="26"/>
        </w:rPr>
        <w:t xml:space="preserve"> кадастровых инженеров.</w:t>
      </w:r>
    </w:p>
    <w:p w:rsidR="00A106EC" w:rsidRDefault="00A106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nos" w:hAnsi="Tinos" w:cs="Tinos"/>
          <w:color w:val="000000" w:themeColor="text1"/>
          <w:sz w:val="26"/>
          <w:szCs w:val="26"/>
        </w:rPr>
      </w:pPr>
    </w:p>
    <w:p w:rsidR="00A106EC" w:rsidRDefault="00960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nos" w:hAnsi="Tinos" w:cs="Tinos"/>
          <w:color w:val="000000" w:themeColor="text1"/>
          <w:sz w:val="26"/>
          <w:szCs w:val="26"/>
        </w:rPr>
      </w:pPr>
      <w:r>
        <w:rPr>
          <w:rFonts w:ascii="Tinos" w:eastAsia="Tinos" w:hAnsi="Tinos" w:cs="Tinos"/>
          <w:color w:val="000000" w:themeColor="text1"/>
          <w:sz w:val="26"/>
          <w:szCs w:val="26"/>
        </w:rPr>
        <w:lastRenderedPageBreak/>
        <w:br/>
      </w:r>
      <w:r>
        <w:rPr>
          <w:rFonts w:ascii="Tinos" w:eastAsia="Tinos" w:hAnsi="Tinos" w:cs="Tinos"/>
          <w:color w:val="000000" w:themeColor="text1"/>
          <w:sz w:val="16"/>
          <w:szCs w:val="16"/>
          <w:lang w:eastAsia="sk-SK"/>
        </w:rPr>
        <w:t>Контакты для СМИ</w:t>
      </w:r>
    </w:p>
    <w:p w:rsidR="00A106EC" w:rsidRDefault="00960D7E">
      <w:pPr>
        <w:spacing w:after="0" w:line="65" w:lineRule="atLeast"/>
        <w:jc w:val="both"/>
        <w:rPr>
          <w:rFonts w:ascii="Tinos" w:hAnsi="Tinos" w:cs="Tinos"/>
          <w:color w:val="000000" w:themeColor="text1"/>
          <w:sz w:val="16"/>
          <w:szCs w:val="16"/>
          <w:shd w:val="clear" w:color="auto" w:fill="FFFFFF"/>
        </w:rPr>
      </w:pPr>
      <w:r>
        <w:rPr>
          <w:rFonts w:ascii="Tinos" w:eastAsia="Tinos" w:hAnsi="Tinos" w:cs="Tinos"/>
          <w:color w:val="000000" w:themeColor="text1"/>
          <w:sz w:val="16"/>
          <w:szCs w:val="16"/>
        </w:rPr>
        <w:t xml:space="preserve">Пресс-служба Росреестра и </w:t>
      </w:r>
      <w:proofErr w:type="spellStart"/>
      <w:r>
        <w:rPr>
          <w:rFonts w:ascii="Tinos" w:eastAsia="Tinos" w:hAnsi="Tinos" w:cs="Tinos"/>
          <w:color w:val="000000" w:themeColor="text1"/>
          <w:sz w:val="16"/>
          <w:szCs w:val="16"/>
        </w:rPr>
        <w:t>Роскадастра</w:t>
      </w:r>
      <w:proofErr w:type="spellEnd"/>
      <w:r>
        <w:rPr>
          <w:rFonts w:ascii="Tinos" w:eastAsia="Tinos" w:hAnsi="Tinos" w:cs="Tinos"/>
          <w:color w:val="000000" w:themeColor="text1"/>
          <w:sz w:val="16"/>
          <w:szCs w:val="16"/>
        </w:rPr>
        <w:t xml:space="preserve"> РХ</w:t>
      </w:r>
    </w:p>
    <w:p w:rsidR="00A106EC" w:rsidRDefault="00960D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65" w:lineRule="atLeast"/>
        <w:jc w:val="both"/>
        <w:rPr>
          <w:rFonts w:ascii="Tinos" w:hAnsi="Tinos" w:cs="Tinos"/>
          <w:color w:val="000000" w:themeColor="text1"/>
          <w:sz w:val="16"/>
          <w:szCs w:val="16"/>
        </w:rPr>
      </w:pPr>
      <w:r>
        <w:rPr>
          <w:rFonts w:ascii="Tinos" w:eastAsia="Tinos" w:hAnsi="Tinos" w:cs="Tinos"/>
          <w:color w:val="000000" w:themeColor="text1"/>
          <w:sz w:val="16"/>
          <w:szCs w:val="16"/>
        </w:rPr>
        <w:t>Тел. 23-99-88, 8(983)273-7509</w:t>
      </w:r>
    </w:p>
    <w:sectPr w:rsidR="00A106E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D7E" w:rsidRDefault="00960D7E">
      <w:pPr>
        <w:spacing w:after="0" w:line="240" w:lineRule="auto"/>
      </w:pPr>
      <w:r>
        <w:separator/>
      </w:r>
    </w:p>
  </w:endnote>
  <w:endnote w:type="continuationSeparator" w:id="0">
    <w:p w:rsidR="00960D7E" w:rsidRDefault="0096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D7E" w:rsidRDefault="00960D7E">
      <w:pPr>
        <w:spacing w:after="0" w:line="240" w:lineRule="auto"/>
      </w:pPr>
      <w:r>
        <w:separator/>
      </w:r>
    </w:p>
  </w:footnote>
  <w:footnote w:type="continuationSeparator" w:id="0">
    <w:p w:rsidR="00960D7E" w:rsidRDefault="00960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105F"/>
    <w:multiLevelType w:val="hybridMultilevel"/>
    <w:tmpl w:val="818C3A16"/>
    <w:lvl w:ilvl="0" w:tplc="B46C1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974DC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3A6F0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36214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2841E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0AA84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182E7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82A14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558A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73108BC"/>
    <w:multiLevelType w:val="hybridMultilevel"/>
    <w:tmpl w:val="91107D14"/>
    <w:lvl w:ilvl="0" w:tplc="F0A46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352997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E66083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95545D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33B62F8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02E6742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38CEC2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2A0458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F286C00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3A547AD9"/>
    <w:multiLevelType w:val="hybridMultilevel"/>
    <w:tmpl w:val="6F186A26"/>
    <w:lvl w:ilvl="0" w:tplc="B3927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7F6A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1AE66B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307203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081ED0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6AEA0F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D56402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DDE0652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CDE0A0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62B33868"/>
    <w:multiLevelType w:val="hybridMultilevel"/>
    <w:tmpl w:val="554EEA1E"/>
    <w:lvl w:ilvl="0" w:tplc="36BEA6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896C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D0A76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164484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A84855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0E4BE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16074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E10F5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1E605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6A5D36C4"/>
    <w:multiLevelType w:val="hybridMultilevel"/>
    <w:tmpl w:val="648CBD3A"/>
    <w:lvl w:ilvl="0" w:tplc="C91CE724">
      <w:start w:val="1"/>
      <w:numFmt w:val="decimal"/>
      <w:lvlText w:val="%1."/>
      <w:lvlJc w:val="left"/>
      <w:pPr>
        <w:ind w:left="720" w:hanging="360"/>
      </w:pPr>
    </w:lvl>
    <w:lvl w:ilvl="1" w:tplc="119CDAD0">
      <w:start w:val="1"/>
      <w:numFmt w:val="lowerLetter"/>
      <w:lvlText w:val="%2."/>
      <w:lvlJc w:val="left"/>
      <w:pPr>
        <w:ind w:left="1440" w:hanging="360"/>
      </w:pPr>
    </w:lvl>
    <w:lvl w:ilvl="2" w:tplc="E0DE3430">
      <w:start w:val="1"/>
      <w:numFmt w:val="lowerRoman"/>
      <w:lvlText w:val="%3."/>
      <w:lvlJc w:val="right"/>
      <w:pPr>
        <w:ind w:left="2160" w:hanging="180"/>
      </w:pPr>
    </w:lvl>
    <w:lvl w:ilvl="3" w:tplc="A6D6FE8C">
      <w:start w:val="1"/>
      <w:numFmt w:val="decimal"/>
      <w:lvlText w:val="%4."/>
      <w:lvlJc w:val="left"/>
      <w:pPr>
        <w:ind w:left="2880" w:hanging="360"/>
      </w:pPr>
    </w:lvl>
    <w:lvl w:ilvl="4" w:tplc="FF368136">
      <w:start w:val="1"/>
      <w:numFmt w:val="lowerLetter"/>
      <w:lvlText w:val="%5."/>
      <w:lvlJc w:val="left"/>
      <w:pPr>
        <w:ind w:left="3600" w:hanging="360"/>
      </w:pPr>
    </w:lvl>
    <w:lvl w:ilvl="5" w:tplc="8AF2E236">
      <w:start w:val="1"/>
      <w:numFmt w:val="lowerRoman"/>
      <w:lvlText w:val="%6."/>
      <w:lvlJc w:val="right"/>
      <w:pPr>
        <w:ind w:left="4320" w:hanging="180"/>
      </w:pPr>
    </w:lvl>
    <w:lvl w:ilvl="6" w:tplc="C3BA543E">
      <w:start w:val="1"/>
      <w:numFmt w:val="decimal"/>
      <w:lvlText w:val="%7."/>
      <w:lvlJc w:val="left"/>
      <w:pPr>
        <w:ind w:left="5040" w:hanging="360"/>
      </w:pPr>
    </w:lvl>
    <w:lvl w:ilvl="7" w:tplc="637A98A6">
      <w:start w:val="1"/>
      <w:numFmt w:val="lowerLetter"/>
      <w:lvlText w:val="%8."/>
      <w:lvlJc w:val="left"/>
      <w:pPr>
        <w:ind w:left="5760" w:hanging="360"/>
      </w:pPr>
    </w:lvl>
    <w:lvl w:ilvl="8" w:tplc="7F36D0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2A3F"/>
    <w:multiLevelType w:val="hybridMultilevel"/>
    <w:tmpl w:val="F0EE80D0"/>
    <w:lvl w:ilvl="0" w:tplc="159428EA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A4CE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8EF4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C04B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4C6B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C2DF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7C9D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B4EE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70A9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EC"/>
    <w:rsid w:val="00960D7E"/>
    <w:rsid w:val="00A106EC"/>
    <w:rsid w:val="00E7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EB8A9-3311-4360-B8F5-25D17263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Pr>
      <w:rFonts w:eastAsia="Times New Roman"/>
      <w:sz w:val="22"/>
      <w:szCs w:val="22"/>
    </w:r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0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paragraph" w:styleId="afc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Pr>
      <w:rFonts w:eastAsia="Times New Roman"/>
      <w:sz w:val="22"/>
      <w:szCs w:val="22"/>
      <w:lang w:eastAsia="ru-RU" w:bidi="ar-SA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Emphasis"/>
    <w:uiPriority w:val="20"/>
    <w:qFormat/>
    <w:rPr>
      <w:i/>
      <w:iCs/>
    </w:rPr>
  </w:style>
  <w:style w:type="paragraph" w:styleId="a">
    <w:name w:val="List Bullet"/>
    <w:basedOn w:val="a0"/>
    <w:uiPriority w:val="99"/>
    <w:unhideWhenUsed/>
    <w:pPr>
      <w:numPr>
        <w:numId w:val="4"/>
      </w:numPr>
      <w:contextualSpacing/>
    </w:pPr>
  </w:style>
  <w:style w:type="character" w:customStyle="1" w:styleId="fontstyle01">
    <w:name w:val="fontstyle01"/>
    <w:rPr>
      <w:rFonts w:ascii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character" w:customStyle="1" w:styleId="aff1">
    <w:name w:val="Основной текст_"/>
    <w:link w:val="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0"/>
    <w:link w:val="aff1"/>
    <w:pPr>
      <w:shd w:val="clear" w:color="auto" w:fill="FFFFFF"/>
      <w:spacing w:before="300" w:after="0" w:line="32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6">
    <w:name w:val="Основной текст (2)_"/>
    <w:link w:val="27"/>
    <w:rPr>
      <w:sz w:val="19"/>
      <w:szCs w:val="19"/>
      <w:shd w:val="clear" w:color="auto" w:fill="FFFFFF"/>
    </w:rPr>
  </w:style>
  <w:style w:type="character" w:customStyle="1" w:styleId="33">
    <w:name w:val="Основной текст (3)_"/>
    <w:link w:val="34"/>
    <w:rPr>
      <w:sz w:val="22"/>
      <w:szCs w:val="22"/>
      <w:shd w:val="clear" w:color="auto" w:fill="FFFFFF"/>
    </w:rPr>
  </w:style>
  <w:style w:type="character" w:customStyle="1" w:styleId="43">
    <w:name w:val="Основной текст (4)_"/>
    <w:link w:val="44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pPr>
      <w:widowControl w:val="0"/>
      <w:shd w:val="clear" w:color="auto" w:fill="FFFFFF"/>
      <w:spacing w:after="0" w:line="364" w:lineRule="exact"/>
    </w:pPr>
    <w:rPr>
      <w:sz w:val="19"/>
      <w:szCs w:val="19"/>
      <w:lang w:eastAsia="ru-RU"/>
    </w:rPr>
  </w:style>
  <w:style w:type="paragraph" w:customStyle="1" w:styleId="34">
    <w:name w:val="Основной текст (3)"/>
    <w:basedOn w:val="a0"/>
    <w:link w:val="33"/>
    <w:pPr>
      <w:widowControl w:val="0"/>
      <w:shd w:val="clear" w:color="auto" w:fill="FFFFFF"/>
      <w:spacing w:after="0" w:line="240" w:lineRule="atLeast"/>
    </w:pPr>
    <w:rPr>
      <w:lang w:eastAsia="ru-RU"/>
    </w:rPr>
  </w:style>
  <w:style w:type="paragraph" w:customStyle="1" w:styleId="44">
    <w:name w:val="Основной текст (4)"/>
    <w:basedOn w:val="a0"/>
    <w:link w:val="43"/>
    <w:pPr>
      <w:widowControl w:val="0"/>
      <w:shd w:val="clear" w:color="auto" w:fill="FFFFFF"/>
      <w:spacing w:after="0" w:line="240" w:lineRule="atLeast"/>
    </w:pPr>
    <w:rPr>
      <w:sz w:val="20"/>
      <w:szCs w:val="20"/>
      <w:lang w:eastAsia="ru-RU"/>
    </w:rPr>
  </w:style>
  <w:style w:type="paragraph" w:customStyle="1" w:styleId="blockblock-3c">
    <w:name w:val="block__block-3c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Мария Сергеевна</dc:creator>
  <cp:lastModifiedBy>Секретарь</cp:lastModifiedBy>
  <cp:revision>2</cp:revision>
  <dcterms:created xsi:type="dcterms:W3CDTF">2025-04-07T07:18:00Z</dcterms:created>
  <dcterms:modified xsi:type="dcterms:W3CDTF">2025-04-07T07:18:00Z</dcterms:modified>
  <cp:version>1048576</cp:version>
</cp:coreProperties>
</file>